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DB9F847" w14:textId="77777777" w:rsidR="001267F0" w:rsidRDefault="001267F0">
      <w:pPr>
        <w:pBdr>
          <w:top w:val="nil"/>
          <w:left w:val="nil"/>
          <w:bottom w:val="nil"/>
          <w:right w:val="nil"/>
          <w:between w:val="nil"/>
        </w:pBdr>
        <w:spacing w:line="240" w:lineRule="auto"/>
        <w:jc w:val="center"/>
        <w:rPr>
          <w:rFonts w:ascii="Arial" w:eastAsia="Arial" w:hAnsi="Arial" w:cs="Arial"/>
          <w:b/>
          <w:color w:val="000000"/>
          <w:sz w:val="24"/>
          <w:szCs w:val="24"/>
        </w:rPr>
      </w:pPr>
    </w:p>
    <w:p w14:paraId="6E3E3B52" w14:textId="77777777" w:rsidR="00DD693C" w:rsidRDefault="57A34C21" w:rsidP="00DD693C">
      <w:pPr>
        <w:jc w:val="center"/>
        <w:rPr>
          <w:rFonts w:ascii="Arial" w:eastAsia="Arial" w:hAnsi="Arial" w:cs="Arial"/>
          <w:color w:val="000000" w:themeColor="text1"/>
          <w:sz w:val="28"/>
          <w:szCs w:val="28"/>
        </w:rPr>
      </w:pPr>
      <w:r w:rsidRPr="0042057B">
        <w:rPr>
          <w:rFonts w:ascii="Arial" w:eastAsia="Arial" w:hAnsi="Arial" w:cs="Arial"/>
          <w:b/>
          <w:bCs/>
          <w:color w:val="000000" w:themeColor="text1"/>
          <w:sz w:val="28"/>
          <w:szCs w:val="28"/>
          <w:lang w:val="cs-CZ"/>
        </w:rPr>
        <w:t>Seyfor Adds NCC, a Slovak Leader in Software for Leasing Companies, to Its Portfolio. The Acquisition Strengthens Its Position in the Central European Market</w:t>
      </w:r>
    </w:p>
    <w:p w14:paraId="389B45EB" w14:textId="77777777" w:rsidR="00DD693C" w:rsidRDefault="00DD693C" w:rsidP="00DD693C">
      <w:pPr>
        <w:jc w:val="center"/>
        <w:rPr>
          <w:rFonts w:ascii="Arial" w:eastAsia="Arial" w:hAnsi="Arial" w:cs="Arial"/>
          <w:color w:val="000000" w:themeColor="text1"/>
          <w:sz w:val="28"/>
          <w:szCs w:val="28"/>
        </w:rPr>
      </w:pPr>
    </w:p>
    <w:p w14:paraId="2D38DFCC" w14:textId="77777777" w:rsidR="00DD693C" w:rsidRDefault="00DD693C" w:rsidP="00DD693C">
      <w:pPr>
        <w:jc w:val="center"/>
        <w:rPr>
          <w:rFonts w:ascii="Arial" w:eastAsia="Arial" w:hAnsi="Arial" w:cs="Arial"/>
          <w:color w:val="000000" w:themeColor="text1"/>
          <w:sz w:val="28"/>
          <w:szCs w:val="28"/>
        </w:rPr>
      </w:pPr>
    </w:p>
    <w:p w14:paraId="5DA9A475" w14:textId="37D6243C" w:rsidR="57A34C21" w:rsidRPr="00DD693C" w:rsidRDefault="57A34C21" w:rsidP="00DD693C">
      <w:pPr>
        <w:rPr>
          <w:rFonts w:ascii="Arial" w:eastAsia="Arial" w:hAnsi="Arial" w:cs="Arial"/>
          <w:color w:val="000000" w:themeColor="text1"/>
          <w:sz w:val="28"/>
          <w:szCs w:val="28"/>
        </w:rPr>
      </w:pPr>
      <w:r w:rsidRPr="00DD693C">
        <w:rPr>
          <w:rFonts w:ascii="Arial" w:eastAsia="Arial" w:hAnsi="Arial" w:cs="Arial"/>
          <w:b/>
          <w:bCs/>
          <w:color w:val="000000" w:themeColor="text1"/>
          <w:u w:val="single"/>
          <w:lang w:val="cs-CZ"/>
        </w:rPr>
        <w:t>Prague, December 3, 2024</w:t>
      </w:r>
      <w:r w:rsidR="00DD693C" w:rsidRPr="00DD693C">
        <w:rPr>
          <w:rFonts w:ascii="Arial" w:eastAsia="Arial" w:hAnsi="Arial" w:cs="Arial"/>
          <w:b/>
          <w:bCs/>
          <w:color w:val="000000" w:themeColor="text1"/>
          <w:u w:val="single"/>
          <w:lang w:val="cs-CZ"/>
        </w:rPr>
        <w:t>:</w:t>
      </w:r>
      <w:r w:rsidR="00DD693C">
        <w:rPr>
          <w:rFonts w:ascii="Arial" w:eastAsia="Arial" w:hAnsi="Arial" w:cs="Arial"/>
          <w:b/>
          <w:bCs/>
          <w:color w:val="000000" w:themeColor="text1"/>
          <w:lang w:val="cs-CZ"/>
        </w:rPr>
        <w:t xml:space="preserve"> </w:t>
      </w:r>
      <w:r w:rsidRPr="00AB0664">
        <w:rPr>
          <w:rFonts w:ascii="Arial" w:eastAsia="Arial" w:hAnsi="Arial" w:cs="Arial"/>
          <w:b/>
          <w:bCs/>
          <w:color w:val="000000" w:themeColor="text1"/>
          <w:lang w:val="cs-CZ"/>
        </w:rPr>
        <w:t>Seyfor, one of Europe’s largest ICT solution providers, has announced the acquisition of a 100% stake in NCC a.s., the leading Slovak software solutions provider for leasing companies. This strategic acquisition reinforces Seyfor’s position in the Central European market and opens new opportunities for the development of a digital platform in the leasing and credit segment. The company also expands its team with top industry specialists.</w:t>
      </w:r>
    </w:p>
    <w:p w14:paraId="29D965A6" w14:textId="543A5FBD" w:rsidR="57A34C21" w:rsidRDefault="57A34C21" w:rsidP="0042057B">
      <w:pPr>
        <w:rPr>
          <w:rFonts w:ascii="Arial" w:eastAsia="Arial" w:hAnsi="Arial" w:cs="Arial"/>
          <w:color w:val="000000" w:themeColor="text1"/>
        </w:rPr>
      </w:pPr>
      <w:r w:rsidRPr="0042057B">
        <w:rPr>
          <w:rFonts w:ascii="Arial" w:eastAsia="Arial" w:hAnsi="Arial" w:cs="Arial"/>
          <w:color w:val="000000" w:themeColor="text1"/>
          <w:lang w:val="cs-CZ"/>
        </w:rPr>
        <w:t>NCC a.s. has long specialized in software development for companies offering financial leasing, operational leasing, and credit services. Its software covers the entire lifecycle, from customer care to lease contract management. The company’s strong position in this sector is evidenced by its clientele, which includes major players in the Slovak market. NCC’s flagship product is the proprietary LeasIt! information system, a comprehensive tool for managing leasing company operations.</w:t>
      </w:r>
    </w:p>
    <w:p w14:paraId="133AF38A" w14:textId="535AD19E" w:rsidR="57A34C21" w:rsidRDefault="57A34C21" w:rsidP="0042057B">
      <w:pPr>
        <w:rPr>
          <w:rFonts w:ascii="Arial" w:eastAsia="Arial" w:hAnsi="Arial" w:cs="Arial"/>
          <w:color w:val="000000" w:themeColor="text1"/>
        </w:rPr>
      </w:pPr>
      <w:r w:rsidRPr="0042057B">
        <w:rPr>
          <w:rFonts w:ascii="Arial" w:eastAsia="Arial" w:hAnsi="Arial" w:cs="Arial"/>
          <w:color w:val="000000" w:themeColor="text1"/>
          <w:lang w:val="cs-CZ"/>
        </w:rPr>
        <w:t>By acquiring NCC a.s., Seyfor significantly strengthens its position in the Slovak market for leasing companies, gaining a dominant share. The expanded customer portfolio also opens new opportunities in other areas of business. Additionally, Seyfor’s team now includes experienced experts in software solutions for leasing companies. The integration of NCC into the Seyfor group will have broader benefits, strengthening its position in the Czech and other European markets. This acquisition is part of Seyfor's global ambition to become a leader in advanced digital platforms for businesses of all sizes.</w:t>
      </w:r>
    </w:p>
    <w:p w14:paraId="17A45435" w14:textId="2CCC3AAE" w:rsidR="57A34C21" w:rsidRDefault="57A34C21" w:rsidP="0042057B">
      <w:pPr>
        <w:rPr>
          <w:rFonts w:ascii="Arial" w:eastAsia="Arial" w:hAnsi="Arial" w:cs="Arial"/>
          <w:color w:val="000000" w:themeColor="text1"/>
        </w:rPr>
      </w:pPr>
      <w:r w:rsidRPr="0042057B">
        <w:rPr>
          <w:rFonts w:ascii="Arial" w:eastAsia="Arial" w:hAnsi="Arial" w:cs="Arial"/>
          <w:color w:val="000000" w:themeColor="text1"/>
          <w:lang w:val="cs-CZ"/>
        </w:rPr>
        <w:t xml:space="preserve">“The acquisition of NCC further accelerates our expansion into new markets. The integration of both companies' expertise is a powerful tool to take our Enterprise &amp; Public division to the next level. We are expanding our IT solutions portfolio for leasing companies, which previously focused on OneCore software and the Incadea.dms enterprise system developed by our partner company. With NCC, we are adding significant Slovak companies in the leasing and credit industry to our client base. Together, we will be able to develop innovative new products that meet all our customers’ needs,” said </w:t>
      </w:r>
      <w:r w:rsidRPr="00BB1B3E">
        <w:rPr>
          <w:rFonts w:ascii="Arial" w:eastAsia="Arial" w:hAnsi="Arial" w:cs="Arial"/>
          <w:b/>
          <w:bCs/>
          <w:color w:val="000000" w:themeColor="text1"/>
          <w:lang w:val="cs-CZ"/>
        </w:rPr>
        <w:t>Martin Cígler, founder of Seyfor.</w:t>
      </w:r>
      <w:r w:rsidRPr="0042057B">
        <w:rPr>
          <w:rFonts w:ascii="Arial" w:eastAsia="Arial" w:hAnsi="Arial" w:cs="Arial"/>
          <w:color w:val="000000" w:themeColor="text1"/>
          <w:lang w:val="cs-CZ"/>
        </w:rPr>
        <w:t xml:space="preserve"> Seyfor’s top clients in this sector now include UniCredit Leasing CZ &amp; SK, Business Lease Group, and Slovenská spořitelna.</w:t>
      </w:r>
    </w:p>
    <w:p w14:paraId="1C76D306" w14:textId="371812E8" w:rsidR="57A34C21" w:rsidRDefault="57A34C21" w:rsidP="0042057B">
      <w:pPr>
        <w:rPr>
          <w:rFonts w:ascii="Arial" w:eastAsia="Arial" w:hAnsi="Arial" w:cs="Arial"/>
          <w:color w:val="000000" w:themeColor="text1"/>
        </w:rPr>
      </w:pPr>
      <w:r w:rsidRPr="0042057B">
        <w:rPr>
          <w:rFonts w:ascii="Arial" w:eastAsia="Arial" w:hAnsi="Arial" w:cs="Arial"/>
          <w:color w:val="000000" w:themeColor="text1"/>
          <w:lang w:val="cs-CZ"/>
        </w:rPr>
        <w:t xml:space="preserve">The transaction values NCC a.s. at several tens of millions of Czech crowns, and the company will continue to operate under its current name. Juraj Starzl, one of its founders, will remain CEO of NCC and will continue to contribute to the development of joint activities and products. “The merger with Seyfor, which delivers its software solutions globally, opens entirely new opportunities for us. We gain the support and resources of a strong European team of experts, enabling us to improve and expand our service and solution offerings. I believe this integration will allow us to further enhance the quality of our services and solutions and expand our product portfolio in the future,” added </w:t>
      </w:r>
      <w:r w:rsidRPr="00BB1B3E">
        <w:rPr>
          <w:rFonts w:ascii="Arial" w:eastAsia="Arial" w:hAnsi="Arial" w:cs="Arial"/>
          <w:b/>
          <w:bCs/>
          <w:color w:val="000000" w:themeColor="text1"/>
          <w:lang w:val="cs-CZ"/>
        </w:rPr>
        <w:t>Juraj Starzl, founder of NCC a.s.</w:t>
      </w:r>
    </w:p>
    <w:p w14:paraId="47425EEB" w14:textId="313C9E46" w:rsidR="0042057B" w:rsidRDefault="0042057B" w:rsidP="0042057B">
      <w:pPr>
        <w:rPr>
          <w:rFonts w:ascii="Aptos" w:eastAsia="Aptos" w:hAnsi="Aptos" w:cs="Aptos"/>
          <w:b/>
          <w:bCs/>
          <w:color w:val="000000" w:themeColor="text1"/>
          <w:lang w:val="cs-CZ"/>
        </w:rPr>
      </w:pPr>
    </w:p>
    <w:p w14:paraId="69393757" w14:textId="77777777" w:rsidR="00DD693C" w:rsidRDefault="00DD693C" w:rsidP="0042057B">
      <w:pPr>
        <w:rPr>
          <w:rFonts w:ascii="Aptos" w:eastAsia="Aptos" w:hAnsi="Aptos" w:cs="Aptos"/>
          <w:b/>
          <w:bCs/>
          <w:color w:val="000000" w:themeColor="text1"/>
          <w:lang w:val="cs-CZ"/>
        </w:rPr>
      </w:pPr>
    </w:p>
    <w:p w14:paraId="196F679C" w14:textId="02A0ADD3" w:rsidR="57A34C21" w:rsidRDefault="57A34C21" w:rsidP="0042057B">
      <w:pPr>
        <w:rPr>
          <w:rFonts w:ascii="Aptos" w:eastAsia="Aptos" w:hAnsi="Aptos" w:cs="Aptos"/>
          <w:color w:val="000000" w:themeColor="text1"/>
        </w:rPr>
      </w:pPr>
      <w:r w:rsidRPr="0042057B">
        <w:rPr>
          <w:rFonts w:ascii="Aptos" w:eastAsia="Aptos" w:hAnsi="Aptos" w:cs="Aptos"/>
          <w:b/>
          <w:bCs/>
          <w:color w:val="000000" w:themeColor="text1"/>
          <w:lang w:val="cs-CZ"/>
        </w:rPr>
        <w:lastRenderedPageBreak/>
        <w:t>About Seyfor:</w:t>
      </w:r>
    </w:p>
    <w:p w14:paraId="3C81A008" w14:textId="661D5A52" w:rsidR="57A34C21" w:rsidRDefault="57A34C21" w:rsidP="00DD693C">
      <w:pPr>
        <w:spacing w:line="240" w:lineRule="auto"/>
        <w:rPr>
          <w:rFonts w:ascii="Aptos" w:eastAsia="Aptos" w:hAnsi="Aptos" w:cs="Aptos"/>
          <w:color w:val="000000" w:themeColor="text1"/>
        </w:rPr>
      </w:pPr>
      <w:r w:rsidRPr="0042057B">
        <w:rPr>
          <w:rFonts w:ascii="Aptos" w:eastAsia="Aptos" w:hAnsi="Aptos" w:cs="Aptos"/>
          <w:color w:val="000000" w:themeColor="text1"/>
          <w:lang w:val="cs-CZ"/>
        </w:rPr>
        <w:t>Seyfor a.s. is one of Europe’s major ICT solution providers. The company has over 1,700 employees and serves customers in 38 countries. In 2023, it recorded 30% year-on-year revenue growth for the fourth consecutive year, consistently ranking among the fastest-growing IT companies in the region. Seyfor is the largest producer of accounting, ERP, and payroll and HR systems in the Czech Republic and a leader in the Czech, Slovenian, and Serbian markets. In recent years, the company has completed dozens of significant acquisitions of IT firms in the Czech Republic, Slovakia, and the Balkans. Founded in 1990 as Cígler Software, the company operated under the Solitea brand from 2017 to 2022. Seyfor’s controlling owners are Slovak-based Sandberg Capital and Czech entrepreneur Martin Cígler.</w:t>
      </w:r>
    </w:p>
    <w:p w14:paraId="38C7E33C" w14:textId="48C5E09D" w:rsidR="0042057B" w:rsidRDefault="0042057B" w:rsidP="0042057B">
      <w:pPr>
        <w:rPr>
          <w:rFonts w:ascii="Aptos" w:eastAsia="Aptos" w:hAnsi="Aptos" w:cs="Aptos"/>
          <w:b/>
          <w:bCs/>
          <w:color w:val="000000" w:themeColor="text1"/>
          <w:lang w:val="cs-CZ"/>
        </w:rPr>
      </w:pPr>
    </w:p>
    <w:p w14:paraId="0203E68F" w14:textId="77777777" w:rsidR="00DD693C" w:rsidRDefault="57A34C21" w:rsidP="0042057B">
      <w:pPr>
        <w:rPr>
          <w:rFonts w:ascii="Aptos" w:eastAsia="Aptos" w:hAnsi="Aptos" w:cs="Aptos"/>
          <w:color w:val="000000" w:themeColor="text1"/>
        </w:rPr>
      </w:pPr>
      <w:r w:rsidRPr="0042057B">
        <w:rPr>
          <w:rFonts w:ascii="Aptos" w:eastAsia="Aptos" w:hAnsi="Aptos" w:cs="Aptos"/>
          <w:b/>
          <w:bCs/>
          <w:color w:val="000000" w:themeColor="text1"/>
          <w:lang w:val="cs-CZ"/>
        </w:rPr>
        <w:t>About NCC a.s.:</w:t>
      </w:r>
    </w:p>
    <w:p w14:paraId="75A56AB6" w14:textId="0BD4E939" w:rsidR="57A34C21" w:rsidRDefault="57A34C21" w:rsidP="0042057B">
      <w:pPr>
        <w:rPr>
          <w:rFonts w:ascii="Aptos" w:eastAsia="Aptos" w:hAnsi="Aptos" w:cs="Aptos"/>
          <w:color w:val="000000" w:themeColor="text1"/>
        </w:rPr>
      </w:pPr>
      <w:r w:rsidRPr="0042057B">
        <w:rPr>
          <w:rFonts w:ascii="Aptos" w:eastAsia="Aptos" w:hAnsi="Aptos" w:cs="Aptos"/>
          <w:color w:val="000000" w:themeColor="text1"/>
          <w:lang w:val="cs-CZ"/>
        </w:rPr>
        <w:t>NCC a.s. is a leader in software development for leasing companies in Slovakia. Since its founding in 1992, it has consistently strengthened its position in this sector, with its customers now including the largest Slovak companies in the field. Key products include the LeasIt information system, a comprehensive tool for managing leasing company operations, and a highly flexible integrated enterprise system, Navision, suitable for all levels of use.</w:t>
      </w:r>
    </w:p>
    <w:p w14:paraId="7C95F2BB" w14:textId="5AC0FC5D" w:rsidR="0042057B" w:rsidRDefault="0042057B" w:rsidP="0042057B">
      <w:pPr>
        <w:rPr>
          <w:rFonts w:ascii="Aptos" w:eastAsia="Aptos" w:hAnsi="Aptos" w:cs="Aptos"/>
          <w:color w:val="000000" w:themeColor="text1"/>
          <w:sz w:val="24"/>
          <w:szCs w:val="24"/>
        </w:rPr>
      </w:pPr>
    </w:p>
    <w:p w14:paraId="52183494" w14:textId="279E5CE5" w:rsidR="0042057B" w:rsidRDefault="0042057B" w:rsidP="0042057B">
      <w:pPr>
        <w:shd w:val="clear" w:color="auto" w:fill="FFFFFF" w:themeFill="background1"/>
        <w:spacing w:after="0" w:line="240" w:lineRule="auto"/>
        <w:contextualSpacing/>
        <w:jc w:val="both"/>
        <w:rPr>
          <w:rFonts w:ascii="Arial" w:eastAsia="Arial" w:hAnsi="Arial" w:cs="Arial"/>
          <w:sz w:val="18"/>
          <w:szCs w:val="18"/>
        </w:rPr>
      </w:pPr>
    </w:p>
    <w:p w14:paraId="32E2293B" w14:textId="77777777" w:rsidR="00505BC1" w:rsidRDefault="00505BC1">
      <w:pPr>
        <w:shd w:val="clear" w:color="auto" w:fill="FFFFFF"/>
        <w:spacing w:after="0" w:line="240" w:lineRule="auto"/>
        <w:contextualSpacing/>
        <w:jc w:val="both"/>
        <w:rPr>
          <w:rFonts w:ascii="Arial" w:eastAsia="Arial" w:hAnsi="Arial" w:cs="Arial"/>
          <w:sz w:val="18"/>
          <w:szCs w:val="18"/>
        </w:rPr>
      </w:pPr>
    </w:p>
    <w:sectPr w:rsidR="00505BC1">
      <w:headerReference w:type="default" r:id="rId7"/>
      <w:footerReference w:type="even" r:id="rId8"/>
      <w:footerReference w:type="default" r:id="rId9"/>
      <w:footerReference w:type="first" r:id="rId10"/>
      <w:pgSz w:w="11906" w:h="16838"/>
      <w:pgMar w:top="1135" w:right="1417" w:bottom="1417" w:left="1417"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AD47D55" w14:textId="77777777" w:rsidR="00891D9F" w:rsidRDefault="00891D9F">
      <w:pPr>
        <w:spacing w:after="0" w:line="240" w:lineRule="auto"/>
      </w:pPr>
      <w:r>
        <w:separator/>
      </w:r>
    </w:p>
  </w:endnote>
  <w:endnote w:type="continuationSeparator" w:id="0">
    <w:p w14:paraId="6156045B" w14:textId="77777777" w:rsidR="00891D9F" w:rsidRDefault="00891D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79B52B" w14:textId="62F297AE" w:rsidR="001267F0" w:rsidRDefault="00FF4406">
    <w:pPr>
      <w:pBdr>
        <w:top w:val="nil"/>
        <w:left w:val="nil"/>
        <w:bottom w:val="nil"/>
        <w:right w:val="nil"/>
        <w:between w:val="nil"/>
      </w:pBdr>
      <w:tabs>
        <w:tab w:val="center" w:pos="4536"/>
        <w:tab w:val="right" w:pos="9072"/>
      </w:tabs>
      <w:spacing w:after="0" w:line="240" w:lineRule="auto"/>
      <w:rPr>
        <w:color w:val="000000"/>
      </w:rPr>
    </w:pPr>
    <w:r>
      <w:rPr>
        <w:noProof/>
      </w:rPr>
      <mc:AlternateContent>
        <mc:Choice Requires="wps">
          <w:drawing>
            <wp:anchor distT="0" distB="0" distL="0" distR="0" simplePos="0" relativeHeight="251663360" behindDoc="0" locked="0" layoutInCell="1" allowOverlap="1" wp14:anchorId="0FB1DA8F" wp14:editId="145C42EF">
              <wp:simplePos x="635" y="635"/>
              <wp:positionH relativeFrom="page">
                <wp:align>left</wp:align>
              </wp:positionH>
              <wp:positionV relativeFrom="page">
                <wp:align>bottom</wp:align>
              </wp:positionV>
              <wp:extent cx="443865" cy="443865"/>
              <wp:effectExtent l="0" t="0" r="3175" b="0"/>
              <wp:wrapNone/>
              <wp:docPr id="6" name="Textové pole 6" descr="Seyfor: Non-public / Neveřejné">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648ADF0" w14:textId="1D45A875" w:rsidR="00FF4406" w:rsidRPr="00FF4406" w:rsidRDefault="00FF4406" w:rsidP="00FF4406">
                          <w:pPr>
                            <w:spacing w:after="0"/>
                            <w:rPr>
                              <w:noProof/>
                              <w:color w:val="000000"/>
                              <w:sz w:val="20"/>
                              <w:szCs w:val="20"/>
                            </w:rPr>
                          </w:pPr>
                          <w:r w:rsidRPr="00FF4406">
                            <w:rPr>
                              <w:noProof/>
                              <w:color w:val="000000"/>
                              <w:sz w:val="20"/>
                              <w:szCs w:val="20"/>
                            </w:rPr>
                            <w:t>Seyfor: Non-public / Neveřejné</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w:pict>
            <v:shapetype id="_x0000_t202" coordsize="21600,21600" o:spt="202" path="m,l,21600r21600,l21600,xe" w14:anchorId="0FB1DA8F">
              <v:stroke joinstyle="miter"/>
              <v:path gradientshapeok="t" o:connecttype="rect"/>
            </v:shapetype>
            <v:shape id="Textové pole 6" style="position:absolute;margin-left:0;margin-top:0;width:34.95pt;height:34.95pt;z-index:251663360;visibility:visible;mso-wrap-style:none;mso-wrap-distance-left:0;mso-wrap-distance-top:0;mso-wrap-distance-right:0;mso-wrap-distance-bottom:0;mso-position-horizontal:left;mso-position-horizontal-relative:page;mso-position-vertical:bottom;mso-position-vertical-relative:page;v-text-anchor:bottom" alt="Seyfor: Non-public / Neveřejné"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87LCwIAABo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">
              <v:textbox style="mso-fit-shape-to-text:t" inset="20pt,0,0,15pt">
                <w:txbxContent>
                  <w:p w:rsidRPr="00FF4406" w:rsidR="00FF4406" w:rsidP="00FF4406" w:rsidRDefault="00FF4406" w14:paraId="3648ADF0" w14:textId="1D45A875">
                    <w:pPr>
                      <w:spacing w:after="0"/>
                      <w:rPr>
                        <w:noProof/>
                        <w:color w:val="000000"/>
                        <w:sz w:val="20"/>
                        <w:szCs w:val="20"/>
                      </w:rPr>
                    </w:pPr>
                    <w:r w:rsidRPr="00FF4406">
                      <w:rPr>
                        <w:noProof/>
                        <w:color w:val="000000"/>
                        <w:sz w:val="20"/>
                        <w:szCs w:val="20"/>
                      </w:rPr>
                      <w:t>Seyfor: Non-public / Neveřejné</w:t>
                    </w:r>
                  </w:p>
                </w:txbxContent>
              </v:textbox>
              <w10:wrap anchorx="page" anchory="page"/>
            </v:shape>
          </w:pict>
        </mc:Fallback>
      </mc:AlternateContent>
    </w:r>
    <w:r w:rsidR="005E0BE5">
      <w:rPr>
        <w:noProof/>
      </w:rPr>
      <mc:AlternateContent>
        <mc:Choice Requires="wps">
          <w:drawing>
            <wp:anchor distT="0" distB="0" distL="0" distR="0" simplePos="0" relativeHeight="251661312" behindDoc="0" locked="0" layoutInCell="1" hidden="0" allowOverlap="1" wp14:anchorId="3FE791EB" wp14:editId="31D5B751">
              <wp:simplePos x="0" y="0"/>
              <wp:positionH relativeFrom="column">
                <wp:posOffset>-901699</wp:posOffset>
              </wp:positionH>
              <wp:positionV relativeFrom="paragraph">
                <wp:posOffset>0</wp:posOffset>
              </wp:positionV>
              <wp:extent cx="462915" cy="462915"/>
              <wp:effectExtent l="0" t="0" r="0" b="0"/>
              <wp:wrapNone/>
              <wp:docPr id="1" name="Obdĺžnik 1" descr="Seyfor: Non-public / Neveřejné"/>
              <wp:cNvGraphicFramePr/>
              <a:graphic xmlns:a="http://schemas.openxmlformats.org/drawingml/2006/main">
                <a:graphicData uri="http://schemas.microsoft.com/office/word/2010/wordprocessingShape">
                  <wps:wsp>
                    <wps:cNvSpPr/>
                    <wps:spPr>
                      <a:xfrm>
                        <a:off x="5124068" y="3558068"/>
                        <a:ext cx="443865" cy="443865"/>
                      </a:xfrm>
                      <a:prstGeom prst="rect">
                        <a:avLst/>
                      </a:prstGeom>
                      <a:noFill/>
                      <a:ln>
                        <a:noFill/>
                      </a:ln>
                    </wps:spPr>
                    <wps:txbx>
                      <w:txbxContent>
                        <w:p w14:paraId="5F558975" w14:textId="77777777" w:rsidR="001267F0" w:rsidRDefault="005E0BE5">
                          <w:pPr>
                            <w:spacing w:after="0" w:line="258" w:lineRule="auto"/>
                            <w:textDirection w:val="btLr"/>
                          </w:pPr>
                          <w:r>
                            <w:rPr>
                              <w:color w:val="000000"/>
                              <w:sz w:val="20"/>
                            </w:rPr>
                            <w:t>Seyfor: Non-public / Neveřejné</w:t>
                          </w:r>
                        </w:p>
                      </w:txbxContent>
                    </wps:txbx>
                    <wps:bodyPr spcFirstLastPara="1" wrap="square" lIns="254000" tIns="0" rIns="0" bIns="190500" anchor="b" anchorCtr="0">
                      <a:noAutofit/>
                    </wps:bodyPr>
                  </wps:wsp>
                </a:graphicData>
              </a:graphic>
            </wp:anchor>
          </w:drawing>
        </mc:Choice>
        <mc:Fallback xmlns:a="http://schemas.openxmlformats.org/drawingml/2006/main" xmlns:aclsh="http://schemas.microsoft.com/office/drawing/2020/classificationShape">
          <w:pict>
            <v:rect id="Obdĺžnik 1" style="position:absolute;margin-left:-71pt;margin-top:0;width:36.45pt;height:36.45pt;z-index:251661312;visibility:visible;mso-wrap-style:square;mso-wrap-distance-left:0;mso-wrap-distance-top:0;mso-wrap-distance-right:0;mso-wrap-distance-bottom:0;mso-position-horizontal:absolute;mso-position-horizontal-relative:text;mso-position-vertical:absolute;mso-position-vertical-relative:text;v-text-anchor:bottom" alt="Seyfor: Non-public / Neveřejné" o:spid="_x0000_s1027" filled="f" stroked="f" w14:anchorId="3FE791E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">
              <v:textbox inset="20pt,0,0,15pt">
                <w:txbxContent>
                  <w:p w:rsidR="001267F0" w:rsidRDefault="005E0BE5" w14:paraId="5F558975" w14:textId="77777777">
                    <w:pPr>
                      <w:spacing w:after="0" w:line="258" w:lineRule="auto"/>
                      <w:textDirection w:val="btLr"/>
                    </w:pPr>
                    <w:r>
                      <w:rPr>
                        <w:color w:val="000000"/>
                        <w:sz w:val="20"/>
                      </w:rPr>
                      <w:t>Seyfor: Non-public / Neveřejné</w:t>
                    </w:r>
                  </w:p>
                </w:txbxContent>
              </v:textbox>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26709A" w14:textId="21BD9996" w:rsidR="001267F0" w:rsidRDefault="005E0BE5">
    <w:pPr>
      <w:pBdr>
        <w:top w:val="nil"/>
        <w:left w:val="nil"/>
        <w:bottom w:val="nil"/>
        <w:right w:val="nil"/>
        <w:between w:val="nil"/>
      </w:pBdr>
      <w:tabs>
        <w:tab w:val="center" w:pos="4536"/>
        <w:tab w:val="right" w:pos="9072"/>
      </w:tabs>
      <w:spacing w:after="0" w:line="240" w:lineRule="auto"/>
      <w:rPr>
        <w:color w:val="000000"/>
      </w:rPr>
    </w:pPr>
    <w:r>
      <w:rPr>
        <w:noProof/>
      </w:rPr>
      <mc:AlternateContent>
        <mc:Choice Requires="wps">
          <w:drawing>
            <wp:anchor distT="0" distB="0" distL="0" distR="0" simplePos="0" relativeHeight="251659264" behindDoc="0" locked="0" layoutInCell="1" hidden="0" allowOverlap="1" wp14:anchorId="6EE67B2F" wp14:editId="01B9C67E">
              <wp:simplePos x="0" y="0"/>
              <wp:positionH relativeFrom="column">
                <wp:posOffset>-901699</wp:posOffset>
              </wp:positionH>
              <wp:positionV relativeFrom="paragraph">
                <wp:posOffset>0</wp:posOffset>
              </wp:positionV>
              <wp:extent cx="462915" cy="462915"/>
              <wp:effectExtent l="0" t="0" r="0" b="0"/>
              <wp:wrapNone/>
              <wp:docPr id="2" name="Obdĺžnik 2" descr="Seyfor: Non-public / Neveřejné"/>
              <wp:cNvGraphicFramePr/>
              <a:graphic xmlns:a="http://schemas.openxmlformats.org/drawingml/2006/main">
                <a:graphicData uri="http://schemas.microsoft.com/office/word/2010/wordprocessingShape">
                  <wps:wsp>
                    <wps:cNvSpPr/>
                    <wps:spPr>
                      <a:xfrm>
                        <a:off x="5124068" y="3558068"/>
                        <a:ext cx="443865" cy="443865"/>
                      </a:xfrm>
                      <a:prstGeom prst="rect">
                        <a:avLst/>
                      </a:prstGeom>
                      <a:noFill/>
                      <a:ln>
                        <a:noFill/>
                      </a:ln>
                    </wps:spPr>
                    <wps:txbx>
                      <w:txbxContent>
                        <w:p w14:paraId="6027137E" w14:textId="77777777" w:rsidR="001267F0" w:rsidRDefault="001267F0">
                          <w:pPr>
                            <w:spacing w:after="0" w:line="258" w:lineRule="auto"/>
                            <w:textDirection w:val="btLr"/>
                          </w:pPr>
                        </w:p>
                      </w:txbxContent>
                    </wps:txbx>
                    <wps:bodyPr spcFirstLastPara="1" wrap="square" lIns="254000" tIns="0" rIns="0" bIns="190500" anchor="b" anchorCtr="0">
                      <a:noAutofit/>
                    </wps:bodyPr>
                  </wps:wsp>
                </a:graphicData>
              </a:graphic>
            </wp:anchor>
          </w:drawing>
        </mc:Choice>
        <mc:Fallback xmlns:a="http://schemas.openxmlformats.org/drawingml/2006/main">
          <w:pict>
            <v:rect id="Obdĺžnik 2" style="position:absolute;margin-left:-71pt;margin-top:0;width:36.45pt;height:36.45pt;z-index:251659264;visibility:visible;mso-wrap-style:square;mso-wrap-distance-left:0;mso-wrap-distance-top:0;mso-wrap-distance-right:0;mso-wrap-distance-bottom:0;mso-position-horizontal:absolute;mso-position-horizontal-relative:text;mso-position-vertical:absolute;mso-position-vertical-relative:text;v-text-anchor:bottom" alt="Seyfor: Non-public / Neveřejné" o:spid="_x0000_s1028" filled="f" stroked="f" w14:anchorId="6EE67B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">
              <v:textbox inset="20pt,0,0,15pt">
                <w:txbxContent>
                  <w:p w:rsidR="001267F0" w:rsidRDefault="001267F0" w14:paraId="6027137E" w14:textId="77777777">
                    <w:pPr>
                      <w:spacing w:after="0" w:line="258" w:lineRule="auto"/>
                      <w:textDirection w:val="btLr"/>
                    </w:pPr>
                  </w:p>
                </w:txbxContent>
              </v:textbox>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30061C" w14:textId="6A26339C" w:rsidR="001267F0" w:rsidRDefault="00FF4406">
    <w:pPr>
      <w:pBdr>
        <w:top w:val="nil"/>
        <w:left w:val="nil"/>
        <w:bottom w:val="nil"/>
        <w:right w:val="nil"/>
        <w:between w:val="nil"/>
      </w:pBdr>
      <w:tabs>
        <w:tab w:val="center" w:pos="4536"/>
        <w:tab w:val="right" w:pos="9072"/>
      </w:tabs>
      <w:spacing w:after="0" w:line="240" w:lineRule="auto"/>
      <w:rPr>
        <w:color w:val="000000"/>
      </w:rPr>
    </w:pPr>
    <w:r>
      <w:rPr>
        <w:noProof/>
      </w:rPr>
      <mc:AlternateContent>
        <mc:Choice Requires="wps">
          <w:drawing>
            <wp:anchor distT="0" distB="0" distL="0" distR="0" simplePos="0" relativeHeight="251662336" behindDoc="0" locked="0" layoutInCell="1" allowOverlap="1" wp14:anchorId="5696D4D7" wp14:editId="6C692708">
              <wp:simplePos x="635" y="635"/>
              <wp:positionH relativeFrom="page">
                <wp:align>left</wp:align>
              </wp:positionH>
              <wp:positionV relativeFrom="page">
                <wp:align>bottom</wp:align>
              </wp:positionV>
              <wp:extent cx="443865" cy="443865"/>
              <wp:effectExtent l="0" t="0" r="3175" b="0"/>
              <wp:wrapNone/>
              <wp:docPr id="5" name="Textové pole 5" descr="Seyfor: Non-public / Neveřejné">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42F2F8C" w14:textId="613FECB8" w:rsidR="00FF4406" w:rsidRPr="00FF4406" w:rsidRDefault="00FF4406" w:rsidP="00FF4406">
                          <w:pPr>
                            <w:spacing w:after="0"/>
                            <w:rPr>
                              <w:noProof/>
                              <w:color w:val="000000"/>
                              <w:sz w:val="20"/>
                              <w:szCs w:val="20"/>
                            </w:rPr>
                          </w:pPr>
                          <w:r w:rsidRPr="00FF4406">
                            <w:rPr>
                              <w:noProof/>
                              <w:color w:val="000000"/>
                              <w:sz w:val="20"/>
                              <w:szCs w:val="20"/>
                            </w:rPr>
                            <w:t>Seyfor: Non-public / Neveřejné</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w:pict>
            <v:shapetype id="_x0000_t202" coordsize="21600,21600" o:spt="202" path="m,l,21600r21600,l21600,xe" w14:anchorId="5696D4D7">
              <v:stroke joinstyle="miter"/>
              <v:path gradientshapeok="t" o:connecttype="rect"/>
            </v:shapetype>
            <v:shape id="Textové pole 5" style="position:absolute;margin-left:0;margin-top:0;width:34.95pt;height:34.95pt;z-index:251662336;visibility:visible;mso-wrap-style:none;mso-wrap-distance-left:0;mso-wrap-distance-top:0;mso-wrap-distance-right:0;mso-wrap-distance-bottom:0;mso-position-horizontal:left;mso-position-horizontal-relative:page;mso-position-vertical:bottom;mso-position-vertical-relative:page;v-text-anchor:bottom" alt="Seyfor: Non-public / Neveřejné"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">
              <v:textbox style="mso-fit-shape-to-text:t" inset="20pt,0,0,15pt">
                <w:txbxContent>
                  <w:p w:rsidRPr="00FF4406" w:rsidR="00FF4406" w:rsidP="00FF4406" w:rsidRDefault="00FF4406" w14:paraId="442F2F8C" w14:textId="613FECB8">
                    <w:pPr>
                      <w:spacing w:after="0"/>
                      <w:rPr>
                        <w:noProof/>
                        <w:color w:val="000000"/>
                        <w:sz w:val="20"/>
                        <w:szCs w:val="20"/>
                      </w:rPr>
                    </w:pPr>
                    <w:r w:rsidRPr="00FF4406">
                      <w:rPr>
                        <w:noProof/>
                        <w:color w:val="000000"/>
                        <w:sz w:val="20"/>
                        <w:szCs w:val="20"/>
                      </w:rPr>
                      <w:t>Seyfor: Non-public / Neveřejné</w:t>
                    </w:r>
                  </w:p>
                </w:txbxContent>
              </v:textbox>
              <w10:wrap anchorx="page" anchory="page"/>
            </v:shape>
          </w:pict>
        </mc:Fallback>
      </mc:AlternateContent>
    </w:r>
    <w:r w:rsidR="005E0BE5">
      <w:rPr>
        <w:noProof/>
      </w:rPr>
      <mc:AlternateContent>
        <mc:Choice Requires="wps">
          <w:drawing>
            <wp:anchor distT="0" distB="0" distL="0" distR="0" simplePos="0" relativeHeight="251660288" behindDoc="0" locked="0" layoutInCell="1" hidden="0" allowOverlap="1" wp14:anchorId="6B095013" wp14:editId="5F51CCB5">
              <wp:simplePos x="0" y="0"/>
              <wp:positionH relativeFrom="column">
                <wp:posOffset>-901699</wp:posOffset>
              </wp:positionH>
              <wp:positionV relativeFrom="paragraph">
                <wp:posOffset>0</wp:posOffset>
              </wp:positionV>
              <wp:extent cx="462915" cy="462915"/>
              <wp:effectExtent l="0" t="0" r="0" b="0"/>
              <wp:wrapNone/>
              <wp:docPr id="3" name="Obdĺžnik 3" descr="Seyfor: Non-public / Neveřejné"/>
              <wp:cNvGraphicFramePr/>
              <a:graphic xmlns:a="http://schemas.openxmlformats.org/drawingml/2006/main">
                <a:graphicData uri="http://schemas.microsoft.com/office/word/2010/wordprocessingShape">
                  <wps:wsp>
                    <wps:cNvSpPr/>
                    <wps:spPr>
                      <a:xfrm>
                        <a:off x="5124068" y="3558068"/>
                        <a:ext cx="443865" cy="443865"/>
                      </a:xfrm>
                      <a:prstGeom prst="rect">
                        <a:avLst/>
                      </a:prstGeom>
                      <a:noFill/>
                      <a:ln>
                        <a:noFill/>
                      </a:ln>
                    </wps:spPr>
                    <wps:txbx>
                      <w:txbxContent>
                        <w:p w14:paraId="342A2448" w14:textId="77777777" w:rsidR="001267F0" w:rsidRDefault="005E0BE5">
                          <w:pPr>
                            <w:spacing w:after="0" w:line="258" w:lineRule="auto"/>
                            <w:textDirection w:val="btLr"/>
                          </w:pPr>
                          <w:r>
                            <w:rPr>
                              <w:color w:val="000000"/>
                              <w:sz w:val="20"/>
                            </w:rPr>
                            <w:t>Seyfor: Non-public / Neveřejné</w:t>
                          </w:r>
                        </w:p>
                      </w:txbxContent>
                    </wps:txbx>
                    <wps:bodyPr spcFirstLastPara="1" wrap="square" lIns="254000" tIns="0" rIns="0" bIns="190500" anchor="b" anchorCtr="0">
                      <a:noAutofit/>
                    </wps:bodyPr>
                  </wps:wsp>
                </a:graphicData>
              </a:graphic>
            </wp:anchor>
          </w:drawing>
        </mc:Choice>
        <mc:Fallback xmlns:a="http://schemas.openxmlformats.org/drawingml/2006/main" xmlns:aclsh="http://schemas.microsoft.com/office/drawing/2020/classificationShape">
          <w:pict>
            <v:rect id="Obdĺžnik 3" style="position:absolute;margin-left:-71pt;margin-top:0;width:36.45pt;height:36.45pt;z-index:251660288;visibility:visible;mso-wrap-style:square;mso-wrap-distance-left:0;mso-wrap-distance-top:0;mso-wrap-distance-right:0;mso-wrap-distance-bottom:0;mso-position-horizontal:absolute;mso-position-horizontal-relative:text;mso-position-vertical:absolute;mso-position-vertical-relative:text;v-text-anchor:bottom" alt="Seyfor: Non-public / Neveřejné" o:spid="_x0000_s1030" filled="f" stroked="f" w14:anchorId="6B0950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">
              <v:textbox inset="20pt,0,0,15pt">
                <w:txbxContent>
                  <w:p w:rsidR="001267F0" w:rsidRDefault="005E0BE5" w14:paraId="342A2448" w14:textId="77777777">
                    <w:pPr>
                      <w:spacing w:after="0" w:line="258" w:lineRule="auto"/>
                      <w:textDirection w:val="btLr"/>
                    </w:pPr>
                    <w:r>
                      <w:rPr>
                        <w:color w:val="000000"/>
                        <w:sz w:val="20"/>
                      </w:rPr>
                      <w:t>Seyfor: Non-public / Neveřejné</w:t>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41CEFFC" w14:textId="77777777" w:rsidR="00891D9F" w:rsidRDefault="00891D9F">
      <w:pPr>
        <w:spacing w:after="0" w:line="240" w:lineRule="auto"/>
      </w:pPr>
      <w:r>
        <w:separator/>
      </w:r>
    </w:p>
  </w:footnote>
  <w:footnote w:type="continuationSeparator" w:id="0">
    <w:p w14:paraId="6314EFE4" w14:textId="77777777" w:rsidR="00891D9F" w:rsidRDefault="00891D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54A7D4" w14:textId="77777777" w:rsidR="001267F0" w:rsidRDefault="005E0BE5">
    <w:pPr>
      <w:pBdr>
        <w:top w:val="nil"/>
        <w:left w:val="nil"/>
        <w:bottom w:val="nil"/>
        <w:right w:val="nil"/>
        <w:between w:val="nil"/>
      </w:pBdr>
      <w:tabs>
        <w:tab w:val="center" w:pos="4536"/>
        <w:tab w:val="right" w:pos="9072"/>
      </w:tabs>
      <w:spacing w:after="0" w:line="240" w:lineRule="auto"/>
      <w:jc w:val="right"/>
      <w:rPr>
        <w:color w:val="000000"/>
      </w:rPr>
    </w:pPr>
    <w:r>
      <w:rPr>
        <w:noProof/>
      </w:rPr>
      <w:drawing>
        <wp:anchor distT="0" distB="0" distL="114300" distR="114300" simplePos="0" relativeHeight="251658240" behindDoc="0" locked="0" layoutInCell="1" hidden="0" allowOverlap="1" wp14:anchorId="0B7A3B60" wp14:editId="6B448D24">
          <wp:simplePos x="0" y="0"/>
          <wp:positionH relativeFrom="column">
            <wp:posOffset>-48893</wp:posOffset>
          </wp:positionH>
          <wp:positionV relativeFrom="paragraph">
            <wp:posOffset>-246378</wp:posOffset>
          </wp:positionV>
          <wp:extent cx="1206500" cy="347345"/>
          <wp:effectExtent l="0" t="0" r="0" b="0"/>
          <wp:wrapSquare wrapText="bothSides" distT="0" distB="0" distL="114300" distR="11430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206500" cy="347345"/>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7F0"/>
    <w:rsid w:val="000007A0"/>
    <w:rsid w:val="00002280"/>
    <w:rsid w:val="00002CE1"/>
    <w:rsid w:val="000054A1"/>
    <w:rsid w:val="00007D28"/>
    <w:rsid w:val="0001173B"/>
    <w:rsid w:val="000169F2"/>
    <w:rsid w:val="00021A9A"/>
    <w:rsid w:val="00024523"/>
    <w:rsid w:val="00025444"/>
    <w:rsid w:val="00031A07"/>
    <w:rsid w:val="00032E64"/>
    <w:rsid w:val="00034DDC"/>
    <w:rsid w:val="000431D8"/>
    <w:rsid w:val="0004621C"/>
    <w:rsid w:val="00046E5A"/>
    <w:rsid w:val="00046F4D"/>
    <w:rsid w:val="00051949"/>
    <w:rsid w:val="00051F91"/>
    <w:rsid w:val="000639BB"/>
    <w:rsid w:val="000645F4"/>
    <w:rsid w:val="00070C88"/>
    <w:rsid w:val="00074868"/>
    <w:rsid w:val="00076B2B"/>
    <w:rsid w:val="0008079E"/>
    <w:rsid w:val="000827D6"/>
    <w:rsid w:val="00086EC1"/>
    <w:rsid w:val="000A746E"/>
    <w:rsid w:val="000A7667"/>
    <w:rsid w:val="000D0ACC"/>
    <w:rsid w:val="000D5009"/>
    <w:rsid w:val="000E1553"/>
    <w:rsid w:val="000E74C4"/>
    <w:rsid w:val="000F1972"/>
    <w:rsid w:val="000F6F8D"/>
    <w:rsid w:val="00103FC9"/>
    <w:rsid w:val="00110F01"/>
    <w:rsid w:val="001111AB"/>
    <w:rsid w:val="0011573B"/>
    <w:rsid w:val="00115C77"/>
    <w:rsid w:val="0011676C"/>
    <w:rsid w:val="00122301"/>
    <w:rsid w:val="00125B85"/>
    <w:rsid w:val="00125BDC"/>
    <w:rsid w:val="001267F0"/>
    <w:rsid w:val="00127799"/>
    <w:rsid w:val="00135BBE"/>
    <w:rsid w:val="00140BA6"/>
    <w:rsid w:val="00141F8F"/>
    <w:rsid w:val="001429A9"/>
    <w:rsid w:val="001429FF"/>
    <w:rsid w:val="0014535B"/>
    <w:rsid w:val="001466D7"/>
    <w:rsid w:val="00163D27"/>
    <w:rsid w:val="00164400"/>
    <w:rsid w:val="0017331D"/>
    <w:rsid w:val="001740FE"/>
    <w:rsid w:val="00175F89"/>
    <w:rsid w:val="001770D8"/>
    <w:rsid w:val="0017773B"/>
    <w:rsid w:val="00180612"/>
    <w:rsid w:val="00181392"/>
    <w:rsid w:val="00185B27"/>
    <w:rsid w:val="00186D2E"/>
    <w:rsid w:val="00195E7A"/>
    <w:rsid w:val="001970EB"/>
    <w:rsid w:val="00197D39"/>
    <w:rsid w:val="001A2C25"/>
    <w:rsid w:val="001A36CD"/>
    <w:rsid w:val="001A6BD4"/>
    <w:rsid w:val="001C0BF5"/>
    <w:rsid w:val="001C377F"/>
    <w:rsid w:val="001D20DB"/>
    <w:rsid w:val="001D49C1"/>
    <w:rsid w:val="001F0953"/>
    <w:rsid w:val="001F1266"/>
    <w:rsid w:val="001F3D42"/>
    <w:rsid w:val="001F4E5D"/>
    <w:rsid w:val="00201D5D"/>
    <w:rsid w:val="00214410"/>
    <w:rsid w:val="00216B42"/>
    <w:rsid w:val="00222798"/>
    <w:rsid w:val="00227119"/>
    <w:rsid w:val="002337F6"/>
    <w:rsid w:val="00237205"/>
    <w:rsid w:val="00242B6B"/>
    <w:rsid w:val="0024517F"/>
    <w:rsid w:val="002452A0"/>
    <w:rsid w:val="002459DB"/>
    <w:rsid w:val="00252FBD"/>
    <w:rsid w:val="00260A70"/>
    <w:rsid w:val="002637C2"/>
    <w:rsid w:val="0026497E"/>
    <w:rsid w:val="00271962"/>
    <w:rsid w:val="0027253C"/>
    <w:rsid w:val="0029566C"/>
    <w:rsid w:val="002A05AF"/>
    <w:rsid w:val="002A5D4C"/>
    <w:rsid w:val="002B0E7A"/>
    <w:rsid w:val="002B105E"/>
    <w:rsid w:val="002B667C"/>
    <w:rsid w:val="002C06CB"/>
    <w:rsid w:val="002C0BA2"/>
    <w:rsid w:val="002C6DF2"/>
    <w:rsid w:val="002D106A"/>
    <w:rsid w:val="002D2426"/>
    <w:rsid w:val="002D2AAB"/>
    <w:rsid w:val="002D460B"/>
    <w:rsid w:val="002D4D3C"/>
    <w:rsid w:val="002E1EED"/>
    <w:rsid w:val="002E72BA"/>
    <w:rsid w:val="002F12E4"/>
    <w:rsid w:val="002F41AD"/>
    <w:rsid w:val="003079BA"/>
    <w:rsid w:val="003137C9"/>
    <w:rsid w:val="00326909"/>
    <w:rsid w:val="003279D3"/>
    <w:rsid w:val="003333CA"/>
    <w:rsid w:val="00333976"/>
    <w:rsid w:val="003374D6"/>
    <w:rsid w:val="00341834"/>
    <w:rsid w:val="00345545"/>
    <w:rsid w:val="00347B9A"/>
    <w:rsid w:val="0035085E"/>
    <w:rsid w:val="003609A6"/>
    <w:rsid w:val="003617AF"/>
    <w:rsid w:val="003655A1"/>
    <w:rsid w:val="0036623D"/>
    <w:rsid w:val="003722FE"/>
    <w:rsid w:val="00373CF9"/>
    <w:rsid w:val="00374473"/>
    <w:rsid w:val="00385870"/>
    <w:rsid w:val="00386DBF"/>
    <w:rsid w:val="003A5D86"/>
    <w:rsid w:val="003B5B06"/>
    <w:rsid w:val="003C2647"/>
    <w:rsid w:val="003C5B50"/>
    <w:rsid w:val="003E4BED"/>
    <w:rsid w:val="003E5189"/>
    <w:rsid w:val="003E7493"/>
    <w:rsid w:val="003F07B4"/>
    <w:rsid w:val="003F5B75"/>
    <w:rsid w:val="004014C9"/>
    <w:rsid w:val="004040BA"/>
    <w:rsid w:val="0040767F"/>
    <w:rsid w:val="00407DD3"/>
    <w:rsid w:val="00407E97"/>
    <w:rsid w:val="004122FA"/>
    <w:rsid w:val="0041397F"/>
    <w:rsid w:val="00416D94"/>
    <w:rsid w:val="0042057B"/>
    <w:rsid w:val="004227E4"/>
    <w:rsid w:val="0042429B"/>
    <w:rsid w:val="00427A5A"/>
    <w:rsid w:val="0043057A"/>
    <w:rsid w:val="004372D8"/>
    <w:rsid w:val="0044611B"/>
    <w:rsid w:val="004662DB"/>
    <w:rsid w:val="0047114C"/>
    <w:rsid w:val="00474164"/>
    <w:rsid w:val="00476036"/>
    <w:rsid w:val="004948A6"/>
    <w:rsid w:val="0049607F"/>
    <w:rsid w:val="004A26CE"/>
    <w:rsid w:val="004A4334"/>
    <w:rsid w:val="004A46BF"/>
    <w:rsid w:val="004A5E26"/>
    <w:rsid w:val="004A5F20"/>
    <w:rsid w:val="004A5FEF"/>
    <w:rsid w:val="004B233C"/>
    <w:rsid w:val="004B2529"/>
    <w:rsid w:val="004B305B"/>
    <w:rsid w:val="004B3EC7"/>
    <w:rsid w:val="004C038A"/>
    <w:rsid w:val="004C1B34"/>
    <w:rsid w:val="004C3EA7"/>
    <w:rsid w:val="004D0284"/>
    <w:rsid w:val="004D7A3B"/>
    <w:rsid w:val="004E7931"/>
    <w:rsid w:val="004E7BE4"/>
    <w:rsid w:val="004E7E8C"/>
    <w:rsid w:val="004F569E"/>
    <w:rsid w:val="005027F8"/>
    <w:rsid w:val="0050324E"/>
    <w:rsid w:val="0050555C"/>
    <w:rsid w:val="00505BC1"/>
    <w:rsid w:val="00507BF9"/>
    <w:rsid w:val="00514A15"/>
    <w:rsid w:val="00514E3B"/>
    <w:rsid w:val="00520166"/>
    <w:rsid w:val="00521551"/>
    <w:rsid w:val="00524600"/>
    <w:rsid w:val="005264A8"/>
    <w:rsid w:val="00527DE3"/>
    <w:rsid w:val="00530EEB"/>
    <w:rsid w:val="005358B5"/>
    <w:rsid w:val="0054145C"/>
    <w:rsid w:val="0054498C"/>
    <w:rsid w:val="00553F44"/>
    <w:rsid w:val="0055702C"/>
    <w:rsid w:val="0056120C"/>
    <w:rsid w:val="00564926"/>
    <w:rsid w:val="00570819"/>
    <w:rsid w:val="0057276D"/>
    <w:rsid w:val="00583E0F"/>
    <w:rsid w:val="00583FBC"/>
    <w:rsid w:val="00590989"/>
    <w:rsid w:val="0059505A"/>
    <w:rsid w:val="00596AAD"/>
    <w:rsid w:val="005A0D1C"/>
    <w:rsid w:val="005A0E12"/>
    <w:rsid w:val="005A34F7"/>
    <w:rsid w:val="005B78DA"/>
    <w:rsid w:val="005C5F0A"/>
    <w:rsid w:val="005D6B14"/>
    <w:rsid w:val="005E0BE5"/>
    <w:rsid w:val="005F0EEF"/>
    <w:rsid w:val="006127D9"/>
    <w:rsid w:val="00613B95"/>
    <w:rsid w:val="00615477"/>
    <w:rsid w:val="006350CE"/>
    <w:rsid w:val="00636D41"/>
    <w:rsid w:val="00637B08"/>
    <w:rsid w:val="00637B7E"/>
    <w:rsid w:val="00637FE3"/>
    <w:rsid w:val="00643766"/>
    <w:rsid w:val="00644BDD"/>
    <w:rsid w:val="00644F7F"/>
    <w:rsid w:val="00645651"/>
    <w:rsid w:val="006502D6"/>
    <w:rsid w:val="00654868"/>
    <w:rsid w:val="0066185A"/>
    <w:rsid w:val="006622D0"/>
    <w:rsid w:val="00667B0E"/>
    <w:rsid w:val="00673058"/>
    <w:rsid w:val="00680FB3"/>
    <w:rsid w:val="00687D9A"/>
    <w:rsid w:val="00690E00"/>
    <w:rsid w:val="00693C85"/>
    <w:rsid w:val="00696EA8"/>
    <w:rsid w:val="006A0458"/>
    <w:rsid w:val="006A3093"/>
    <w:rsid w:val="006A4BED"/>
    <w:rsid w:val="006A5084"/>
    <w:rsid w:val="006A5798"/>
    <w:rsid w:val="006A5814"/>
    <w:rsid w:val="006A5FE3"/>
    <w:rsid w:val="006A764C"/>
    <w:rsid w:val="006B3479"/>
    <w:rsid w:val="006B3FE8"/>
    <w:rsid w:val="006C28D5"/>
    <w:rsid w:val="006C6A31"/>
    <w:rsid w:val="006D1EB3"/>
    <w:rsid w:val="006D34DE"/>
    <w:rsid w:val="006D36AA"/>
    <w:rsid w:val="006D464E"/>
    <w:rsid w:val="006D4EBB"/>
    <w:rsid w:val="006D5E5F"/>
    <w:rsid w:val="006D6F99"/>
    <w:rsid w:val="006F053B"/>
    <w:rsid w:val="006F6945"/>
    <w:rsid w:val="006F7381"/>
    <w:rsid w:val="007000BE"/>
    <w:rsid w:val="0070561E"/>
    <w:rsid w:val="0071443D"/>
    <w:rsid w:val="0072200D"/>
    <w:rsid w:val="00722B72"/>
    <w:rsid w:val="0073387E"/>
    <w:rsid w:val="007338C1"/>
    <w:rsid w:val="00735630"/>
    <w:rsid w:val="00741F24"/>
    <w:rsid w:val="00746B96"/>
    <w:rsid w:val="00747702"/>
    <w:rsid w:val="007515A8"/>
    <w:rsid w:val="007550CC"/>
    <w:rsid w:val="00756831"/>
    <w:rsid w:val="00764495"/>
    <w:rsid w:val="00775615"/>
    <w:rsid w:val="00781D9F"/>
    <w:rsid w:val="00782810"/>
    <w:rsid w:val="00782892"/>
    <w:rsid w:val="007832B0"/>
    <w:rsid w:val="0078708A"/>
    <w:rsid w:val="00787E71"/>
    <w:rsid w:val="00796BC9"/>
    <w:rsid w:val="007B0EC4"/>
    <w:rsid w:val="007B1FE6"/>
    <w:rsid w:val="007B265D"/>
    <w:rsid w:val="007B3536"/>
    <w:rsid w:val="007B4C6F"/>
    <w:rsid w:val="007B7A63"/>
    <w:rsid w:val="007D552C"/>
    <w:rsid w:val="007F2852"/>
    <w:rsid w:val="007F5538"/>
    <w:rsid w:val="0080614F"/>
    <w:rsid w:val="00807212"/>
    <w:rsid w:val="00811C53"/>
    <w:rsid w:val="00811E83"/>
    <w:rsid w:val="0081277D"/>
    <w:rsid w:val="0081553A"/>
    <w:rsid w:val="008232A4"/>
    <w:rsid w:val="00840E79"/>
    <w:rsid w:val="00844667"/>
    <w:rsid w:val="00844996"/>
    <w:rsid w:val="00844B31"/>
    <w:rsid w:val="0085520F"/>
    <w:rsid w:val="008566B6"/>
    <w:rsid w:val="0086377D"/>
    <w:rsid w:val="00867C72"/>
    <w:rsid w:val="00872CBB"/>
    <w:rsid w:val="00883A30"/>
    <w:rsid w:val="0088433F"/>
    <w:rsid w:val="00891D9F"/>
    <w:rsid w:val="0089204E"/>
    <w:rsid w:val="0089237C"/>
    <w:rsid w:val="00894643"/>
    <w:rsid w:val="008978F1"/>
    <w:rsid w:val="008A2AE4"/>
    <w:rsid w:val="008A4ABC"/>
    <w:rsid w:val="008B3424"/>
    <w:rsid w:val="008B7925"/>
    <w:rsid w:val="008C1D58"/>
    <w:rsid w:val="008D28AE"/>
    <w:rsid w:val="008D3095"/>
    <w:rsid w:val="008D7240"/>
    <w:rsid w:val="008E3DE3"/>
    <w:rsid w:val="008E518A"/>
    <w:rsid w:val="008F0FC8"/>
    <w:rsid w:val="008F1CAA"/>
    <w:rsid w:val="008F1D95"/>
    <w:rsid w:val="008F1F8A"/>
    <w:rsid w:val="008F267F"/>
    <w:rsid w:val="008F7997"/>
    <w:rsid w:val="00904AF7"/>
    <w:rsid w:val="009136F0"/>
    <w:rsid w:val="0092198C"/>
    <w:rsid w:val="009244C2"/>
    <w:rsid w:val="00925CCB"/>
    <w:rsid w:val="00930B72"/>
    <w:rsid w:val="00930DA7"/>
    <w:rsid w:val="00935647"/>
    <w:rsid w:val="00937832"/>
    <w:rsid w:val="009451A1"/>
    <w:rsid w:val="00961C39"/>
    <w:rsid w:val="009642D9"/>
    <w:rsid w:val="00964B29"/>
    <w:rsid w:val="00965166"/>
    <w:rsid w:val="009663CE"/>
    <w:rsid w:val="00974470"/>
    <w:rsid w:val="00985771"/>
    <w:rsid w:val="009860D7"/>
    <w:rsid w:val="009872C9"/>
    <w:rsid w:val="0099309C"/>
    <w:rsid w:val="009966E4"/>
    <w:rsid w:val="009976A6"/>
    <w:rsid w:val="009A1B53"/>
    <w:rsid w:val="009A2D16"/>
    <w:rsid w:val="009A2EE0"/>
    <w:rsid w:val="009B0620"/>
    <w:rsid w:val="009B6A1D"/>
    <w:rsid w:val="009C367D"/>
    <w:rsid w:val="009C4605"/>
    <w:rsid w:val="009C6151"/>
    <w:rsid w:val="009C6454"/>
    <w:rsid w:val="009C65B0"/>
    <w:rsid w:val="009D0796"/>
    <w:rsid w:val="009D1CA9"/>
    <w:rsid w:val="009D3C80"/>
    <w:rsid w:val="009D4D02"/>
    <w:rsid w:val="009E1C93"/>
    <w:rsid w:val="009E3789"/>
    <w:rsid w:val="009F0B1A"/>
    <w:rsid w:val="009F53EC"/>
    <w:rsid w:val="00A0078F"/>
    <w:rsid w:val="00A07DBB"/>
    <w:rsid w:val="00A14682"/>
    <w:rsid w:val="00A14FEF"/>
    <w:rsid w:val="00A34C20"/>
    <w:rsid w:val="00A3745F"/>
    <w:rsid w:val="00A41509"/>
    <w:rsid w:val="00A44058"/>
    <w:rsid w:val="00A4405F"/>
    <w:rsid w:val="00A6029E"/>
    <w:rsid w:val="00A70AAD"/>
    <w:rsid w:val="00A72DCA"/>
    <w:rsid w:val="00A74C2B"/>
    <w:rsid w:val="00A81DCE"/>
    <w:rsid w:val="00A83D83"/>
    <w:rsid w:val="00A84479"/>
    <w:rsid w:val="00A84BC3"/>
    <w:rsid w:val="00A87A82"/>
    <w:rsid w:val="00A9058A"/>
    <w:rsid w:val="00A97B1E"/>
    <w:rsid w:val="00AA5DA3"/>
    <w:rsid w:val="00AB0664"/>
    <w:rsid w:val="00AB1F20"/>
    <w:rsid w:val="00AB4380"/>
    <w:rsid w:val="00AB4670"/>
    <w:rsid w:val="00AB5E4D"/>
    <w:rsid w:val="00AB730A"/>
    <w:rsid w:val="00AD1D9E"/>
    <w:rsid w:val="00AD43C5"/>
    <w:rsid w:val="00AD4AC4"/>
    <w:rsid w:val="00AE06F0"/>
    <w:rsid w:val="00AE1872"/>
    <w:rsid w:val="00AE6E4E"/>
    <w:rsid w:val="00AF27C6"/>
    <w:rsid w:val="00AF43C5"/>
    <w:rsid w:val="00B01EF2"/>
    <w:rsid w:val="00B020E3"/>
    <w:rsid w:val="00B03151"/>
    <w:rsid w:val="00B06DC9"/>
    <w:rsid w:val="00B12711"/>
    <w:rsid w:val="00B308BF"/>
    <w:rsid w:val="00B31A16"/>
    <w:rsid w:val="00B32F26"/>
    <w:rsid w:val="00B420BC"/>
    <w:rsid w:val="00B42EE8"/>
    <w:rsid w:val="00B458C9"/>
    <w:rsid w:val="00B57735"/>
    <w:rsid w:val="00B60010"/>
    <w:rsid w:val="00B75C0C"/>
    <w:rsid w:val="00B801BC"/>
    <w:rsid w:val="00B82643"/>
    <w:rsid w:val="00B875B9"/>
    <w:rsid w:val="00B92D82"/>
    <w:rsid w:val="00BA4247"/>
    <w:rsid w:val="00BA61C3"/>
    <w:rsid w:val="00BA6BF1"/>
    <w:rsid w:val="00BB143A"/>
    <w:rsid w:val="00BB1B3E"/>
    <w:rsid w:val="00BC3A13"/>
    <w:rsid w:val="00BC51E1"/>
    <w:rsid w:val="00BC6131"/>
    <w:rsid w:val="00BD01B3"/>
    <w:rsid w:val="00BE4302"/>
    <w:rsid w:val="00BE53A0"/>
    <w:rsid w:val="00BF0CB5"/>
    <w:rsid w:val="00BF2F74"/>
    <w:rsid w:val="00BF54C9"/>
    <w:rsid w:val="00BF5CD4"/>
    <w:rsid w:val="00C13B9C"/>
    <w:rsid w:val="00C13BEA"/>
    <w:rsid w:val="00C16B0C"/>
    <w:rsid w:val="00C21B39"/>
    <w:rsid w:val="00C3547C"/>
    <w:rsid w:val="00C3673D"/>
    <w:rsid w:val="00C500B8"/>
    <w:rsid w:val="00C50841"/>
    <w:rsid w:val="00C5598F"/>
    <w:rsid w:val="00C55DC9"/>
    <w:rsid w:val="00C57DB3"/>
    <w:rsid w:val="00C57EE0"/>
    <w:rsid w:val="00C64748"/>
    <w:rsid w:val="00C67163"/>
    <w:rsid w:val="00C76779"/>
    <w:rsid w:val="00C77539"/>
    <w:rsid w:val="00C81251"/>
    <w:rsid w:val="00C82DE2"/>
    <w:rsid w:val="00C850CD"/>
    <w:rsid w:val="00C86849"/>
    <w:rsid w:val="00C9396C"/>
    <w:rsid w:val="00C93BEB"/>
    <w:rsid w:val="00C96D31"/>
    <w:rsid w:val="00CA0C59"/>
    <w:rsid w:val="00CA22A3"/>
    <w:rsid w:val="00CA5986"/>
    <w:rsid w:val="00CA6E66"/>
    <w:rsid w:val="00CB0C8C"/>
    <w:rsid w:val="00CB161C"/>
    <w:rsid w:val="00CC0E0B"/>
    <w:rsid w:val="00CC262D"/>
    <w:rsid w:val="00CC36BE"/>
    <w:rsid w:val="00CE1737"/>
    <w:rsid w:val="00CE4867"/>
    <w:rsid w:val="00CE61DE"/>
    <w:rsid w:val="00CF30B6"/>
    <w:rsid w:val="00CF5FC9"/>
    <w:rsid w:val="00CF7843"/>
    <w:rsid w:val="00D013B1"/>
    <w:rsid w:val="00D04F41"/>
    <w:rsid w:val="00D05787"/>
    <w:rsid w:val="00D12519"/>
    <w:rsid w:val="00D21823"/>
    <w:rsid w:val="00D23837"/>
    <w:rsid w:val="00D2394A"/>
    <w:rsid w:val="00D24F4D"/>
    <w:rsid w:val="00D31E7C"/>
    <w:rsid w:val="00D373B4"/>
    <w:rsid w:val="00D4153B"/>
    <w:rsid w:val="00D43195"/>
    <w:rsid w:val="00D453BE"/>
    <w:rsid w:val="00D474D0"/>
    <w:rsid w:val="00D475BB"/>
    <w:rsid w:val="00D520B5"/>
    <w:rsid w:val="00D550C6"/>
    <w:rsid w:val="00D61A52"/>
    <w:rsid w:val="00D83362"/>
    <w:rsid w:val="00D85D35"/>
    <w:rsid w:val="00D93819"/>
    <w:rsid w:val="00DA5B9B"/>
    <w:rsid w:val="00DB20A5"/>
    <w:rsid w:val="00DC14FC"/>
    <w:rsid w:val="00DC3262"/>
    <w:rsid w:val="00DC5470"/>
    <w:rsid w:val="00DC6109"/>
    <w:rsid w:val="00DD430D"/>
    <w:rsid w:val="00DD693C"/>
    <w:rsid w:val="00DD7190"/>
    <w:rsid w:val="00DE3947"/>
    <w:rsid w:val="00DE5596"/>
    <w:rsid w:val="00DF0517"/>
    <w:rsid w:val="00DF58BF"/>
    <w:rsid w:val="00E01A32"/>
    <w:rsid w:val="00E01C9B"/>
    <w:rsid w:val="00E045F3"/>
    <w:rsid w:val="00E10057"/>
    <w:rsid w:val="00E13F63"/>
    <w:rsid w:val="00E15516"/>
    <w:rsid w:val="00E221AB"/>
    <w:rsid w:val="00E3029C"/>
    <w:rsid w:val="00E34E83"/>
    <w:rsid w:val="00E37905"/>
    <w:rsid w:val="00E37A01"/>
    <w:rsid w:val="00E41599"/>
    <w:rsid w:val="00E60F0B"/>
    <w:rsid w:val="00E62767"/>
    <w:rsid w:val="00E6420F"/>
    <w:rsid w:val="00E65F17"/>
    <w:rsid w:val="00E801E1"/>
    <w:rsid w:val="00E84C12"/>
    <w:rsid w:val="00E85A3F"/>
    <w:rsid w:val="00E87101"/>
    <w:rsid w:val="00E93243"/>
    <w:rsid w:val="00E9356A"/>
    <w:rsid w:val="00E95A46"/>
    <w:rsid w:val="00E97F36"/>
    <w:rsid w:val="00EA498F"/>
    <w:rsid w:val="00EA5C90"/>
    <w:rsid w:val="00EB3187"/>
    <w:rsid w:val="00EC3CF4"/>
    <w:rsid w:val="00EC48DE"/>
    <w:rsid w:val="00EC56EE"/>
    <w:rsid w:val="00ED364A"/>
    <w:rsid w:val="00ED3EAF"/>
    <w:rsid w:val="00ED683F"/>
    <w:rsid w:val="00EE05D8"/>
    <w:rsid w:val="00EE1F15"/>
    <w:rsid w:val="00EE247B"/>
    <w:rsid w:val="00EF1530"/>
    <w:rsid w:val="00EF2D0E"/>
    <w:rsid w:val="00EF667E"/>
    <w:rsid w:val="00F00369"/>
    <w:rsid w:val="00F00F97"/>
    <w:rsid w:val="00F046FE"/>
    <w:rsid w:val="00F0664A"/>
    <w:rsid w:val="00F115E0"/>
    <w:rsid w:val="00F140CF"/>
    <w:rsid w:val="00F2109B"/>
    <w:rsid w:val="00F24117"/>
    <w:rsid w:val="00F249CA"/>
    <w:rsid w:val="00F24ED6"/>
    <w:rsid w:val="00F2627A"/>
    <w:rsid w:val="00F275A6"/>
    <w:rsid w:val="00F33AB3"/>
    <w:rsid w:val="00F37489"/>
    <w:rsid w:val="00F41D34"/>
    <w:rsid w:val="00F478DC"/>
    <w:rsid w:val="00F51897"/>
    <w:rsid w:val="00F57473"/>
    <w:rsid w:val="00F653DC"/>
    <w:rsid w:val="00F67202"/>
    <w:rsid w:val="00F70FDF"/>
    <w:rsid w:val="00F848E8"/>
    <w:rsid w:val="00F93DD6"/>
    <w:rsid w:val="00FB010A"/>
    <w:rsid w:val="00FB2B46"/>
    <w:rsid w:val="00FB51E3"/>
    <w:rsid w:val="00FC0A01"/>
    <w:rsid w:val="00FC5428"/>
    <w:rsid w:val="00FD021C"/>
    <w:rsid w:val="00FD3292"/>
    <w:rsid w:val="00FD4DF2"/>
    <w:rsid w:val="00FE0D91"/>
    <w:rsid w:val="00FE295D"/>
    <w:rsid w:val="00FE3ECF"/>
    <w:rsid w:val="00FE4AAA"/>
    <w:rsid w:val="00FE7F5A"/>
    <w:rsid w:val="00FF001C"/>
    <w:rsid w:val="00FF0A7E"/>
    <w:rsid w:val="00FF4406"/>
    <w:rsid w:val="00FF7562"/>
    <w:rsid w:val="02F23668"/>
    <w:rsid w:val="1405614F"/>
    <w:rsid w:val="2EE83B34"/>
    <w:rsid w:val="4CA04D34"/>
    <w:rsid w:val="4DCA859A"/>
    <w:rsid w:val="4F8AD489"/>
    <w:rsid w:val="57A34C21"/>
    <w:rsid w:val="60EE48E7"/>
    <w:rsid w:val="6A314D52"/>
  </w:rsids>
  <m:mathPr>
    <m:mathFont m:val="Cambria Math"/>
    <m:brkBin m:val="before"/>
    <m:brkBinSub m:val="--"/>
    <m:smallFrac m:val="0"/>
    <m:dispDef/>
    <m:lMargin m:val="0"/>
    <m:rMargin m:val="0"/>
    <m:defJc m:val="centerGroup"/>
    <m:wrapIndent m:val="1440"/>
    <m:intLim m:val="subSup"/>
    <m:naryLim m:val="undOvr"/>
  </m:mathPr>
  <w:themeFontLang w:val="sk-SK"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89568D"/>
  <w15:docId w15:val="{B1FF3B0B-31BE-49E1-B6E7-5CBEB277C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sk-SK" w:eastAsia="sk-SK"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uiPriority w:val="9"/>
    <w:qFormat/>
    <w:pPr>
      <w:keepNext/>
      <w:keepLines/>
      <w:spacing w:before="480" w:after="120"/>
      <w:outlineLvl w:val="0"/>
    </w:pPr>
    <w:rPr>
      <w:b/>
      <w:sz w:val="48"/>
      <w:szCs w:val="48"/>
    </w:rPr>
  </w:style>
  <w:style w:type="paragraph" w:styleId="Nadpis2">
    <w:name w:val="heading 2"/>
    <w:basedOn w:val="Normln"/>
    <w:next w:val="Normln"/>
    <w:uiPriority w:val="9"/>
    <w:semiHidden/>
    <w:unhideWhenUsed/>
    <w:qFormat/>
    <w:pPr>
      <w:keepNext/>
      <w:keepLines/>
      <w:spacing w:before="360" w:after="80"/>
      <w:outlineLvl w:val="1"/>
    </w:pPr>
    <w:rPr>
      <w:b/>
      <w:sz w:val="36"/>
      <w:szCs w:val="36"/>
    </w:rPr>
  </w:style>
  <w:style w:type="paragraph" w:styleId="Nadpis3">
    <w:name w:val="heading 3"/>
    <w:basedOn w:val="Normln"/>
    <w:next w:val="Normln"/>
    <w:uiPriority w:val="9"/>
    <w:semiHidden/>
    <w:unhideWhenUsed/>
    <w:qFormat/>
    <w:pPr>
      <w:keepNext/>
      <w:keepLines/>
      <w:spacing w:before="280" w:after="80"/>
      <w:outlineLvl w:val="2"/>
    </w:pPr>
    <w:rPr>
      <w:b/>
      <w:sz w:val="28"/>
      <w:szCs w:val="28"/>
    </w:rPr>
  </w:style>
  <w:style w:type="paragraph" w:styleId="Nadpis4">
    <w:name w:val="heading 4"/>
    <w:basedOn w:val="Normln"/>
    <w:next w:val="Normln"/>
    <w:uiPriority w:val="9"/>
    <w:semiHidden/>
    <w:unhideWhenUsed/>
    <w:qFormat/>
    <w:pPr>
      <w:keepNext/>
      <w:keepLines/>
      <w:spacing w:before="240" w:after="40"/>
      <w:outlineLvl w:val="3"/>
    </w:pPr>
    <w:rPr>
      <w:b/>
      <w:sz w:val="24"/>
      <w:szCs w:val="24"/>
    </w:rPr>
  </w:style>
  <w:style w:type="paragraph" w:styleId="Nadpis5">
    <w:name w:val="heading 5"/>
    <w:basedOn w:val="Normln"/>
    <w:next w:val="Normln"/>
    <w:uiPriority w:val="9"/>
    <w:semiHidden/>
    <w:unhideWhenUsed/>
    <w:qFormat/>
    <w:pPr>
      <w:keepNext/>
      <w:keepLines/>
      <w:spacing w:before="220" w:after="40"/>
      <w:outlineLvl w:val="4"/>
    </w:pPr>
    <w:rPr>
      <w:b/>
    </w:rPr>
  </w:style>
  <w:style w:type="paragraph" w:styleId="Nadpis6">
    <w:name w:val="heading 6"/>
    <w:basedOn w:val="Normln"/>
    <w:next w:val="Normln"/>
    <w:uiPriority w:val="9"/>
    <w:semiHidden/>
    <w:unhideWhenUsed/>
    <w:qFormat/>
    <w:pPr>
      <w:keepNext/>
      <w:keepLines/>
      <w:spacing w:before="200" w:after="40"/>
      <w:outlineLvl w:val="5"/>
    </w:pPr>
    <w:rPr>
      <w:b/>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zev">
    <w:name w:val="Title"/>
    <w:basedOn w:val="Normln"/>
    <w:next w:val="Normln"/>
    <w:uiPriority w:val="10"/>
    <w:qFormat/>
    <w:pPr>
      <w:keepNext/>
      <w:keepLines/>
      <w:spacing w:before="480" w:after="120"/>
    </w:pPr>
    <w:rPr>
      <w:b/>
      <w:sz w:val="72"/>
      <w:szCs w:val="72"/>
    </w:rPr>
  </w:style>
  <w:style w:type="paragraph" w:styleId="Podnadpis">
    <w:name w:val="Subtitle"/>
    <w:basedOn w:val="Normln"/>
    <w:next w:val="Normln"/>
    <w:uiPriority w:val="11"/>
    <w:qFormat/>
    <w:pPr>
      <w:keepNext/>
      <w:keepLines/>
      <w:spacing w:before="360" w:after="80"/>
    </w:pPr>
    <w:rPr>
      <w:rFonts w:ascii="Georgia" w:eastAsia="Georgia" w:hAnsi="Georgia" w:cs="Georgia"/>
      <w:i/>
      <w:color w:val="666666"/>
      <w:sz w:val="48"/>
      <w:szCs w:val="48"/>
    </w:rPr>
  </w:style>
  <w:style w:type="paragraph" w:styleId="Zhlav">
    <w:name w:val="header"/>
    <w:basedOn w:val="Normln"/>
    <w:link w:val="ZhlavChar"/>
    <w:uiPriority w:val="99"/>
    <w:unhideWhenUsed/>
    <w:rsid w:val="00AD1D9E"/>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AD1D9E"/>
  </w:style>
  <w:style w:type="character" w:styleId="Odkaznakoment">
    <w:name w:val="annotation reference"/>
    <w:basedOn w:val="Standardnpsmoodstavce"/>
    <w:uiPriority w:val="99"/>
    <w:semiHidden/>
    <w:unhideWhenUsed/>
    <w:rsid w:val="002C6DF2"/>
    <w:rPr>
      <w:sz w:val="16"/>
      <w:szCs w:val="16"/>
    </w:rPr>
  </w:style>
  <w:style w:type="paragraph" w:styleId="Textkomente">
    <w:name w:val="annotation text"/>
    <w:basedOn w:val="Normln"/>
    <w:link w:val="TextkomenteChar"/>
    <w:uiPriority w:val="99"/>
    <w:unhideWhenUsed/>
    <w:rsid w:val="002C6DF2"/>
    <w:pPr>
      <w:spacing w:line="240" w:lineRule="auto"/>
    </w:pPr>
    <w:rPr>
      <w:sz w:val="20"/>
      <w:szCs w:val="20"/>
    </w:rPr>
  </w:style>
  <w:style w:type="character" w:customStyle="1" w:styleId="TextkomenteChar">
    <w:name w:val="Text komentáře Char"/>
    <w:basedOn w:val="Standardnpsmoodstavce"/>
    <w:link w:val="Textkomente"/>
    <w:uiPriority w:val="99"/>
    <w:rsid w:val="002C6DF2"/>
    <w:rPr>
      <w:sz w:val="20"/>
      <w:szCs w:val="20"/>
    </w:rPr>
  </w:style>
  <w:style w:type="paragraph" w:styleId="Pedmtkomente">
    <w:name w:val="annotation subject"/>
    <w:basedOn w:val="Textkomente"/>
    <w:next w:val="Textkomente"/>
    <w:link w:val="PedmtkomenteChar"/>
    <w:uiPriority w:val="99"/>
    <w:semiHidden/>
    <w:unhideWhenUsed/>
    <w:rsid w:val="002C6DF2"/>
    <w:rPr>
      <w:b/>
      <w:bCs/>
    </w:rPr>
  </w:style>
  <w:style w:type="character" w:customStyle="1" w:styleId="PedmtkomenteChar">
    <w:name w:val="Předmět komentáře Char"/>
    <w:basedOn w:val="TextkomenteChar"/>
    <w:link w:val="Pedmtkomente"/>
    <w:uiPriority w:val="99"/>
    <w:semiHidden/>
    <w:rsid w:val="002C6DF2"/>
    <w:rPr>
      <w:b/>
      <w:bCs/>
      <w:sz w:val="20"/>
      <w:szCs w:val="20"/>
    </w:rPr>
  </w:style>
  <w:style w:type="paragraph" w:customStyle="1" w:styleId="paragraph">
    <w:name w:val="paragraph"/>
    <w:basedOn w:val="Normln"/>
    <w:rsid w:val="006D34D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Standardnpsmoodstavce"/>
    <w:rsid w:val="006D34DE"/>
  </w:style>
  <w:style w:type="character" w:customStyle="1" w:styleId="eop">
    <w:name w:val="eop"/>
    <w:basedOn w:val="Standardnpsmoodstavce"/>
    <w:rsid w:val="006D34DE"/>
  </w:style>
  <w:style w:type="character" w:styleId="Hypertextovodkaz">
    <w:name w:val="Hyperlink"/>
    <w:basedOn w:val="Standardnpsmoodstavce"/>
    <w:uiPriority w:val="99"/>
    <w:unhideWhenUsed/>
    <w:rsid w:val="0072200D"/>
    <w:rPr>
      <w:color w:val="0000FF" w:themeColor="hyperlink"/>
      <w:u w:val="single"/>
    </w:rPr>
  </w:style>
  <w:style w:type="character" w:styleId="Nevyeenzmnka">
    <w:name w:val="Unresolved Mention"/>
    <w:basedOn w:val="Standardnpsmoodstavce"/>
    <w:uiPriority w:val="99"/>
    <w:semiHidden/>
    <w:unhideWhenUsed/>
    <w:rsid w:val="007220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494038">
      <w:bodyDiv w:val="1"/>
      <w:marLeft w:val="0"/>
      <w:marRight w:val="0"/>
      <w:marTop w:val="0"/>
      <w:marBottom w:val="0"/>
      <w:divBdr>
        <w:top w:val="none" w:sz="0" w:space="0" w:color="auto"/>
        <w:left w:val="none" w:sz="0" w:space="0" w:color="auto"/>
        <w:bottom w:val="none" w:sz="0" w:space="0" w:color="auto"/>
        <w:right w:val="none" w:sz="0" w:space="0" w:color="auto"/>
      </w:divBdr>
    </w:div>
    <w:div w:id="108858350">
      <w:bodyDiv w:val="1"/>
      <w:marLeft w:val="0"/>
      <w:marRight w:val="0"/>
      <w:marTop w:val="0"/>
      <w:marBottom w:val="0"/>
      <w:divBdr>
        <w:top w:val="none" w:sz="0" w:space="0" w:color="auto"/>
        <w:left w:val="none" w:sz="0" w:space="0" w:color="auto"/>
        <w:bottom w:val="none" w:sz="0" w:space="0" w:color="auto"/>
        <w:right w:val="none" w:sz="0" w:space="0" w:color="auto"/>
      </w:divBdr>
    </w:div>
    <w:div w:id="327639092">
      <w:bodyDiv w:val="1"/>
      <w:marLeft w:val="0"/>
      <w:marRight w:val="0"/>
      <w:marTop w:val="0"/>
      <w:marBottom w:val="0"/>
      <w:divBdr>
        <w:top w:val="none" w:sz="0" w:space="0" w:color="auto"/>
        <w:left w:val="none" w:sz="0" w:space="0" w:color="auto"/>
        <w:bottom w:val="none" w:sz="0" w:space="0" w:color="auto"/>
        <w:right w:val="none" w:sz="0" w:space="0" w:color="auto"/>
      </w:divBdr>
    </w:div>
    <w:div w:id="750591352">
      <w:bodyDiv w:val="1"/>
      <w:marLeft w:val="0"/>
      <w:marRight w:val="0"/>
      <w:marTop w:val="0"/>
      <w:marBottom w:val="0"/>
      <w:divBdr>
        <w:top w:val="none" w:sz="0" w:space="0" w:color="auto"/>
        <w:left w:val="none" w:sz="0" w:space="0" w:color="auto"/>
        <w:bottom w:val="none" w:sz="0" w:space="0" w:color="auto"/>
        <w:right w:val="none" w:sz="0" w:space="0" w:color="auto"/>
      </w:divBdr>
    </w:div>
    <w:div w:id="1558978873">
      <w:bodyDiv w:val="1"/>
      <w:marLeft w:val="0"/>
      <w:marRight w:val="0"/>
      <w:marTop w:val="0"/>
      <w:marBottom w:val="0"/>
      <w:divBdr>
        <w:top w:val="none" w:sz="0" w:space="0" w:color="auto"/>
        <w:left w:val="none" w:sz="0" w:space="0" w:color="auto"/>
        <w:bottom w:val="none" w:sz="0" w:space="0" w:color="auto"/>
        <w:right w:val="none" w:sz="0" w:space="0" w:color="auto"/>
      </w:divBdr>
    </w:div>
    <w:div w:id="1589390193">
      <w:bodyDiv w:val="1"/>
      <w:marLeft w:val="0"/>
      <w:marRight w:val="0"/>
      <w:marTop w:val="0"/>
      <w:marBottom w:val="0"/>
      <w:divBdr>
        <w:top w:val="none" w:sz="0" w:space="0" w:color="auto"/>
        <w:left w:val="none" w:sz="0" w:space="0" w:color="auto"/>
        <w:bottom w:val="none" w:sz="0" w:space="0" w:color="auto"/>
        <w:right w:val="none" w:sz="0" w:space="0" w:color="auto"/>
      </w:divBdr>
    </w:div>
    <w:div w:id="184335514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JMn3UXZ1cl6suHofxhPNkdZZRrA==">CgMxLjA4AHIhMWpnbU43d2dnRDVfbXVEaFVyR2JSbk1wa1RnZURKQ1BQ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Metadata/LabelInfo.xml><?xml version="1.0" encoding="utf-8"?>
<clbl:labelList xmlns:clbl="http://schemas.microsoft.com/office/2020/mipLabelMetadata">
  <clbl:label id="{be81e134-65c6-4d96-b2bc-29b8ca8ffd70}" enabled="1" method="Standard" siteId="{6e0a5f83-1728-4956-bdf4-ce37760cd214}" removed="0"/>
</clbl:labelList>
</file>

<file path=docProps/app.xml><?xml version="1.0" encoding="utf-8"?>
<Properties xmlns="http://schemas.openxmlformats.org/officeDocument/2006/extended-properties" xmlns:vt="http://schemas.openxmlformats.org/officeDocument/2006/docPropsVTypes">
  <Template>Normal.dotm</Template>
  <TotalTime>7</TotalTime>
  <Pages>2</Pages>
  <Words>651</Words>
  <Characters>3842</Characters>
  <Application>Microsoft Office Word</Application>
  <DocSecurity>0</DocSecurity>
  <Lines>32</Lines>
  <Paragraphs>8</Paragraphs>
  <ScaleCrop>false</ScaleCrop>
  <Company/>
  <LinksUpToDate>false</LinksUpToDate>
  <CharactersWithSpaces>4485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Antonia Rackova Pariciova</dc:creator>
  <cp:lastModifiedBy>Steiger Marek</cp:lastModifiedBy>
  <cp:revision>40</cp:revision>
  <dcterms:created xsi:type="dcterms:W3CDTF">2024-11-29T13:24:00Z</dcterms:created>
  <dcterms:modified xsi:type="dcterms:W3CDTF">2024-12-02T10:50:00Z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59577c4c,6059ac14,35b1f1d,5,6,7</vt:lpwstr>
  </property>
  <property fmtid="{D5CDD505-2E9C-101B-9397-08002B2CF9AE}" pid="3" name="ClassificationContentMarkingFooterFontProps">
    <vt:lpwstr>#000000,10,Calibri</vt:lpwstr>
  </property>
  <property fmtid="{D5CDD505-2E9C-101B-9397-08002B2CF9AE}" pid="4" name="ClassificationContentMarkingFooterText">
    <vt:lpwstr>Seyfor: Non-public / Neveřejné</vt:lpwstr>
  </property>
</Properties>
</file>